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E4" w:rsidRDefault="00165FE4" w:rsidP="00165FE4">
      <w:pPr>
        <w:shd w:val="clear" w:color="auto" w:fill="FFFFFF"/>
        <w:spacing w:before="240" w:after="72" w:line="490" w:lineRule="atLeast"/>
        <w:jc w:val="center"/>
        <w:outlineLvl w:val="1"/>
        <w:rPr>
          <w:rFonts w:ascii="Tahoma" w:eastAsia="Times New Roman" w:hAnsi="Tahoma" w:cs="Tahoma"/>
          <w:b/>
          <w:bCs/>
          <w:color w:val="FF5500"/>
          <w:sz w:val="41"/>
          <w:szCs w:val="41"/>
          <w:lang w:eastAsia="ru-RU"/>
        </w:rPr>
      </w:pPr>
      <w:bookmarkStart w:id="0" w:name="_GoBack"/>
      <w:r>
        <w:rPr>
          <w:rFonts w:ascii="Tahoma" w:eastAsia="Times New Roman" w:hAnsi="Tahoma" w:cs="Tahoma"/>
          <w:b/>
          <w:bCs/>
          <w:color w:val="FF5500"/>
          <w:sz w:val="41"/>
          <w:szCs w:val="41"/>
          <w:lang w:eastAsia="ru-RU"/>
        </w:rPr>
        <w:t>СЕМИНАР</w:t>
      </w:r>
      <w:bookmarkEnd w:id="0"/>
    </w:p>
    <w:p w:rsidR="00165FE4" w:rsidRDefault="00165FE4" w:rsidP="00165FE4">
      <w:pPr>
        <w:shd w:val="clear" w:color="auto" w:fill="FFFFFF"/>
        <w:spacing w:before="240" w:after="72" w:line="490" w:lineRule="atLeast"/>
        <w:jc w:val="center"/>
        <w:outlineLvl w:val="1"/>
        <w:rPr>
          <w:rFonts w:ascii="Tahoma" w:eastAsia="Times New Roman" w:hAnsi="Tahoma" w:cs="Tahoma"/>
          <w:b/>
          <w:bCs/>
          <w:color w:val="FF5500"/>
          <w:sz w:val="41"/>
          <w:szCs w:val="41"/>
          <w:lang w:eastAsia="ru-RU"/>
        </w:rPr>
      </w:pPr>
      <w:r w:rsidRPr="00934BB1">
        <w:rPr>
          <w:rFonts w:ascii="Tahoma" w:eastAsia="Times New Roman" w:hAnsi="Tahoma" w:cs="Tahoma"/>
          <w:b/>
          <w:bCs/>
          <w:color w:val="FF5500"/>
          <w:sz w:val="41"/>
          <w:szCs w:val="41"/>
          <w:lang w:eastAsia="ru-RU"/>
        </w:rPr>
        <w:t>Предостережение о недопустимости нарушения </w:t>
      </w:r>
      <w:r w:rsidRPr="00934BB1">
        <w:rPr>
          <w:rFonts w:ascii="Tahoma" w:eastAsia="Times New Roman" w:hAnsi="Tahoma" w:cs="Tahoma"/>
          <w:b/>
          <w:bCs/>
          <w:color w:val="FF5500"/>
          <w:sz w:val="41"/>
          <w:szCs w:val="41"/>
          <w:lang w:eastAsia="ru-RU"/>
        </w:rPr>
        <w:br/>
        <w:t>обязательных требований</w:t>
      </w:r>
    </w:p>
    <w:p w:rsidR="000D188B" w:rsidRPr="00934BB1" w:rsidRDefault="000D188B" w:rsidP="00165FE4">
      <w:pPr>
        <w:shd w:val="clear" w:color="auto" w:fill="FFFFFF"/>
        <w:spacing w:before="240" w:after="72" w:line="490" w:lineRule="atLeast"/>
        <w:jc w:val="center"/>
        <w:outlineLvl w:val="1"/>
        <w:rPr>
          <w:rFonts w:ascii="Tahoma" w:eastAsia="Times New Roman" w:hAnsi="Tahoma" w:cs="Tahoma"/>
          <w:b/>
          <w:bCs/>
          <w:color w:val="FF5500"/>
          <w:sz w:val="41"/>
          <w:szCs w:val="41"/>
          <w:lang w:eastAsia="ru-RU"/>
        </w:rPr>
      </w:pPr>
    </w:p>
    <w:p w:rsidR="00165FE4" w:rsidRPr="00934BB1" w:rsidRDefault="00165FE4" w:rsidP="00710ED4">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b/>
          <w:bCs/>
          <w:color w:val="666666"/>
          <w:sz w:val="26"/>
          <w:szCs w:val="26"/>
          <w:lang w:eastAsia="ru-RU"/>
        </w:rPr>
        <w:t>Предприниматель может допустить оплошность, которая не несет вреда окружающим и государству. И что? Наказывать его рублем? И это в условиях экономической нестабильности, когда сложно найти поставщиков и покупателей. Поэтому не так давно на правительственном уровне решили, что с мелкими нарушениями законодательства лучше бороться не штрафами, а путем предостережений.</w:t>
      </w:r>
    </w:p>
    <w:p w:rsidR="00165FE4" w:rsidRPr="00934BB1" w:rsidRDefault="00165FE4" w:rsidP="00710ED4">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Результатом политики смягчения ответственности послужило постановление Правительства РФ от 10.02.2017 </w:t>
      </w:r>
      <w:hyperlink r:id="rId5" w:tgtFrame="_blank" w:history="1">
        <w:r w:rsidRPr="00934BB1">
          <w:rPr>
            <w:rFonts w:ascii="Tahoma" w:eastAsia="Times New Roman" w:hAnsi="Tahoma" w:cs="Tahoma"/>
            <w:color w:val="0D89D2"/>
            <w:sz w:val="26"/>
            <w:szCs w:val="26"/>
            <w:u w:val="single"/>
            <w:lang w:eastAsia="ru-RU"/>
          </w:rPr>
          <w:t>№ 166</w:t>
        </w:r>
      </w:hyperlink>
      <w:r w:rsidRPr="00934BB1">
        <w:rPr>
          <w:rFonts w:ascii="Tahoma" w:eastAsia="Times New Roman" w:hAnsi="Tahoma" w:cs="Tahoma"/>
          <w:color w:val="666666"/>
          <w:sz w:val="26"/>
          <w:szCs w:val="26"/>
          <w:lang w:eastAsia="ru-RU"/>
        </w:rPr>
        <w:t>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10ED4" w:rsidRDefault="00165FE4" w:rsidP="00710ED4">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Предостережение служит целям соблюдения законодательства в дальнейшем. Фактически в этом документе вам говорят, что можно делать, а что нельзя.</w:t>
      </w:r>
    </w:p>
    <w:p w:rsidR="000D188B" w:rsidRDefault="00165FE4" w:rsidP="00710ED4">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В предостережении указываются: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а) наименование органа государственного контроля (надзора), органа муниципального контроля, который направляет предостережение;</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б) дата и номер предостережения;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в) наименование юридического лица, фамилия, имя, отчество (при наличии) индивидуального предпринимателя;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proofErr w:type="spellStart"/>
      <w:r w:rsidRPr="00934BB1">
        <w:rPr>
          <w:rFonts w:ascii="Tahoma" w:eastAsia="Times New Roman" w:hAnsi="Tahoma" w:cs="Tahoma"/>
          <w:color w:val="666666"/>
          <w:sz w:val="26"/>
          <w:szCs w:val="26"/>
          <w:lang w:eastAsia="ru-RU"/>
        </w:rPr>
        <w:lastRenderedPageBreak/>
        <w:t>д</w:t>
      </w:r>
      <w:proofErr w:type="spellEnd"/>
      <w:r w:rsidRPr="00934BB1">
        <w:rPr>
          <w:rFonts w:ascii="Tahoma" w:eastAsia="Times New Roman" w:hAnsi="Tahoma" w:cs="Tahoma"/>
          <w:color w:val="666666"/>
          <w:sz w:val="26"/>
          <w:szCs w:val="26"/>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proofErr w:type="spellStart"/>
      <w:r w:rsidRPr="00934BB1">
        <w:rPr>
          <w:rFonts w:ascii="Tahoma" w:eastAsia="Times New Roman" w:hAnsi="Tahoma" w:cs="Tahoma"/>
          <w:color w:val="666666"/>
          <w:sz w:val="26"/>
          <w:szCs w:val="26"/>
          <w:lang w:eastAsia="ru-RU"/>
        </w:rPr>
        <w:t>з</w:t>
      </w:r>
      <w:proofErr w:type="spellEnd"/>
      <w:r w:rsidRPr="00934BB1">
        <w:rPr>
          <w:rFonts w:ascii="Tahoma" w:eastAsia="Times New Roman" w:hAnsi="Tahoma" w:cs="Tahoma"/>
          <w:color w:val="666666"/>
          <w:sz w:val="26"/>
          <w:szCs w:val="26"/>
          <w:lang w:eastAsia="ru-RU"/>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65FE4" w:rsidRPr="00934BB1"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tbl>
      <w:tblPr>
        <w:tblW w:w="0" w:type="auto"/>
        <w:shd w:val="clear" w:color="auto" w:fill="FFFFFF"/>
        <w:tblCellMar>
          <w:top w:w="15" w:type="dxa"/>
          <w:left w:w="15" w:type="dxa"/>
          <w:bottom w:w="15" w:type="dxa"/>
          <w:right w:w="15" w:type="dxa"/>
        </w:tblCellMar>
        <w:tblLook w:val="04A0"/>
      </w:tblPr>
      <w:tblGrid>
        <w:gridCol w:w="2241"/>
        <w:gridCol w:w="630"/>
        <w:gridCol w:w="6514"/>
      </w:tblGrid>
      <w:tr w:rsidR="00165FE4" w:rsidRPr="00934BB1" w:rsidTr="005C44B7">
        <w:tc>
          <w:tcPr>
            <w:tcW w:w="0" w:type="auto"/>
            <w:vMerge w:val="restart"/>
            <w:shd w:val="clear" w:color="auto" w:fill="FFFFFF"/>
            <w:vAlign w:val="center"/>
            <w:hideMark/>
          </w:tcPr>
          <w:p w:rsidR="00165FE4" w:rsidRPr="00934BB1" w:rsidRDefault="00165FE4" w:rsidP="005C44B7">
            <w:pPr>
              <w:pBdr>
                <w:top w:val="single" w:sz="6" w:space="31" w:color="FF5000"/>
                <w:left w:val="single" w:sz="6" w:space="8" w:color="FF5000"/>
                <w:bottom w:val="single" w:sz="6" w:space="31" w:color="FF5000"/>
                <w:right w:val="single" w:sz="6" w:space="8" w:color="FF5000"/>
              </w:pBdr>
              <w:shd w:val="clear" w:color="auto" w:fill="FFFFFF"/>
              <w:spacing w:before="150" w:after="150" w:line="384" w:lineRule="atLeast"/>
              <w:ind w:left="75" w:right="75"/>
              <w:jc w:val="center"/>
              <w:rPr>
                <w:rFonts w:ascii="Tahoma" w:eastAsia="Times New Roman" w:hAnsi="Tahoma" w:cs="Tahoma"/>
                <w:color w:val="666666"/>
                <w:lang w:eastAsia="ru-RU"/>
              </w:rPr>
            </w:pPr>
            <w:r w:rsidRPr="00934BB1">
              <w:rPr>
                <w:rFonts w:ascii="Tahoma" w:eastAsia="Times New Roman" w:hAnsi="Tahoma" w:cs="Tahoma"/>
                <w:color w:val="666666"/>
                <w:lang w:eastAsia="ru-RU"/>
              </w:rPr>
              <w:t>Профилактика нарушения обязательных требований</w:t>
            </w:r>
          </w:p>
        </w:tc>
        <w:tc>
          <w:tcPr>
            <w:tcW w:w="360" w:type="dxa"/>
            <w:shd w:val="clear" w:color="auto" w:fill="FFFFFF"/>
            <w:vAlign w:val="center"/>
            <w:hideMark/>
          </w:tcPr>
          <w:p w:rsidR="00165FE4" w:rsidRPr="00934BB1" w:rsidRDefault="00165FE4" w:rsidP="005C44B7">
            <w:pPr>
              <w:spacing w:after="0" w:line="240" w:lineRule="auto"/>
              <w:rPr>
                <w:rFonts w:ascii="Arial" w:eastAsia="Times New Roman" w:hAnsi="Arial" w:cs="Arial"/>
                <w:color w:val="666666"/>
                <w:sz w:val="26"/>
                <w:szCs w:val="26"/>
                <w:lang w:eastAsia="ru-RU"/>
              </w:rPr>
            </w:pPr>
            <w:r>
              <w:rPr>
                <w:rFonts w:ascii="Arial" w:eastAsia="Times New Roman" w:hAnsi="Arial" w:cs="Arial"/>
                <w:noProof/>
                <w:color w:val="666666"/>
                <w:sz w:val="26"/>
                <w:szCs w:val="26"/>
                <w:lang w:eastAsia="ru-RU"/>
              </w:rPr>
              <w:drawing>
                <wp:inline distT="0" distB="0" distL="0" distR="0">
                  <wp:extent cx="381000" cy="285750"/>
                  <wp:effectExtent l="0" t="0" r="0" b="0"/>
                  <wp:docPr id="6" name="Рисунок 6" descr="arrow black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black bottom"/>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shd w:val="clear" w:color="auto" w:fill="FFFFFF"/>
            <w:vAlign w:val="center"/>
            <w:hideMark/>
          </w:tcPr>
          <w:p w:rsidR="00165FE4" w:rsidRPr="00934BB1" w:rsidRDefault="00165FE4" w:rsidP="005C44B7">
            <w:pPr>
              <w:pBdr>
                <w:top w:val="single" w:sz="6" w:space="8" w:color="FF5000"/>
                <w:left w:val="single" w:sz="6" w:space="8" w:color="FF5000"/>
                <w:bottom w:val="single" w:sz="6" w:space="8" w:color="FF5000"/>
                <w:right w:val="single" w:sz="6" w:space="8" w:color="FF5000"/>
              </w:pBdr>
              <w:shd w:val="clear" w:color="auto" w:fill="FFFFFF"/>
              <w:spacing w:before="150" w:after="150" w:line="384" w:lineRule="atLeast"/>
              <w:ind w:left="75" w:right="75"/>
              <w:jc w:val="center"/>
              <w:rPr>
                <w:rFonts w:ascii="Tahoma" w:eastAsia="Times New Roman" w:hAnsi="Tahoma" w:cs="Tahoma"/>
                <w:color w:val="666666"/>
                <w:lang w:eastAsia="ru-RU"/>
              </w:rPr>
            </w:pPr>
            <w:r w:rsidRPr="00934BB1">
              <w:rPr>
                <w:rFonts w:ascii="Tahoma" w:eastAsia="Times New Roman" w:hAnsi="Tahoma" w:cs="Tahoma"/>
                <w:color w:val="666666"/>
                <w:lang w:eastAsia="ru-RU"/>
              </w:rPr>
              <w:t>Размещение на официальных сайтах в Интернете для каждого вида контроля перечней нормативных правовых актов, содержащих обязательные требования</w:t>
            </w:r>
          </w:p>
        </w:tc>
      </w:tr>
      <w:tr w:rsidR="00165FE4" w:rsidRPr="00934BB1" w:rsidTr="005C44B7">
        <w:tc>
          <w:tcPr>
            <w:tcW w:w="0" w:type="auto"/>
            <w:vMerge/>
            <w:shd w:val="clear" w:color="auto" w:fill="FFFFFF"/>
            <w:vAlign w:val="center"/>
            <w:hideMark/>
          </w:tcPr>
          <w:p w:rsidR="00165FE4" w:rsidRPr="00934BB1" w:rsidRDefault="00165FE4" w:rsidP="005C44B7">
            <w:pPr>
              <w:spacing w:after="0" w:line="240" w:lineRule="auto"/>
              <w:rPr>
                <w:rFonts w:ascii="Tahoma" w:eastAsia="Times New Roman" w:hAnsi="Tahoma" w:cs="Tahoma"/>
                <w:color w:val="666666"/>
                <w:lang w:eastAsia="ru-RU"/>
              </w:rPr>
            </w:pPr>
          </w:p>
        </w:tc>
        <w:tc>
          <w:tcPr>
            <w:tcW w:w="0" w:type="auto"/>
            <w:shd w:val="clear" w:color="auto" w:fill="FFFFFF"/>
            <w:vAlign w:val="center"/>
            <w:hideMark/>
          </w:tcPr>
          <w:p w:rsidR="00165FE4" w:rsidRPr="00934BB1" w:rsidRDefault="00165FE4" w:rsidP="005C44B7">
            <w:pPr>
              <w:spacing w:after="0" w:line="240" w:lineRule="auto"/>
              <w:rPr>
                <w:rFonts w:ascii="Arial" w:eastAsia="Times New Roman" w:hAnsi="Arial" w:cs="Arial"/>
                <w:color w:val="666666"/>
                <w:sz w:val="26"/>
                <w:szCs w:val="26"/>
                <w:lang w:eastAsia="ru-RU"/>
              </w:rPr>
            </w:pPr>
            <w:r>
              <w:rPr>
                <w:rFonts w:ascii="Arial" w:eastAsia="Times New Roman" w:hAnsi="Arial" w:cs="Arial"/>
                <w:noProof/>
                <w:color w:val="666666"/>
                <w:sz w:val="26"/>
                <w:szCs w:val="26"/>
                <w:lang w:eastAsia="ru-RU"/>
              </w:rPr>
              <w:drawing>
                <wp:inline distT="0" distB="0" distL="0" distR="0">
                  <wp:extent cx="381000" cy="285750"/>
                  <wp:effectExtent l="0" t="0" r="0" b="0"/>
                  <wp:docPr id="5" name="Рисунок 5" descr="arrow black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black bottom"/>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shd w:val="clear" w:color="auto" w:fill="FFFFFF"/>
            <w:vAlign w:val="center"/>
            <w:hideMark/>
          </w:tcPr>
          <w:p w:rsidR="00165FE4" w:rsidRPr="00934BB1" w:rsidRDefault="00165FE4" w:rsidP="005C44B7">
            <w:pPr>
              <w:pBdr>
                <w:top w:val="single" w:sz="6" w:space="8" w:color="FF5000"/>
                <w:left w:val="single" w:sz="6" w:space="8" w:color="FF5000"/>
                <w:bottom w:val="single" w:sz="6" w:space="8" w:color="FF5000"/>
                <w:right w:val="single" w:sz="6" w:space="8" w:color="FF5000"/>
              </w:pBdr>
              <w:shd w:val="clear" w:color="auto" w:fill="FFFFFF"/>
              <w:spacing w:before="150" w:after="150" w:line="384" w:lineRule="atLeast"/>
              <w:ind w:left="75" w:right="75"/>
              <w:jc w:val="center"/>
              <w:rPr>
                <w:rFonts w:ascii="Tahoma" w:eastAsia="Times New Roman" w:hAnsi="Tahoma" w:cs="Tahoma"/>
                <w:color w:val="666666"/>
                <w:lang w:eastAsia="ru-RU"/>
              </w:rPr>
            </w:pPr>
            <w:r w:rsidRPr="00934BB1">
              <w:rPr>
                <w:rFonts w:ascii="Tahoma" w:eastAsia="Times New Roman" w:hAnsi="Tahoma" w:cs="Tahoma"/>
                <w:color w:val="666666"/>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их соблюдению,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 комментирование новшеств и разработка рекомендаций по их внедрению</w:t>
            </w:r>
          </w:p>
        </w:tc>
      </w:tr>
      <w:tr w:rsidR="00165FE4" w:rsidRPr="00934BB1" w:rsidTr="005C44B7">
        <w:tc>
          <w:tcPr>
            <w:tcW w:w="0" w:type="auto"/>
            <w:vMerge/>
            <w:shd w:val="clear" w:color="auto" w:fill="FFFFFF"/>
            <w:vAlign w:val="center"/>
            <w:hideMark/>
          </w:tcPr>
          <w:p w:rsidR="00165FE4" w:rsidRPr="00934BB1" w:rsidRDefault="00165FE4" w:rsidP="005C44B7">
            <w:pPr>
              <w:spacing w:after="0" w:line="240" w:lineRule="auto"/>
              <w:rPr>
                <w:rFonts w:ascii="Tahoma" w:eastAsia="Times New Roman" w:hAnsi="Tahoma" w:cs="Tahoma"/>
                <w:color w:val="666666"/>
                <w:lang w:eastAsia="ru-RU"/>
              </w:rPr>
            </w:pPr>
          </w:p>
        </w:tc>
        <w:tc>
          <w:tcPr>
            <w:tcW w:w="0" w:type="auto"/>
            <w:shd w:val="clear" w:color="auto" w:fill="FFFFFF"/>
            <w:vAlign w:val="center"/>
            <w:hideMark/>
          </w:tcPr>
          <w:p w:rsidR="00165FE4" w:rsidRPr="00934BB1" w:rsidRDefault="00165FE4" w:rsidP="005C44B7">
            <w:pPr>
              <w:spacing w:after="0" w:line="240" w:lineRule="auto"/>
              <w:rPr>
                <w:rFonts w:ascii="Arial" w:eastAsia="Times New Roman" w:hAnsi="Arial" w:cs="Arial"/>
                <w:color w:val="666666"/>
                <w:sz w:val="26"/>
                <w:szCs w:val="26"/>
                <w:lang w:eastAsia="ru-RU"/>
              </w:rPr>
            </w:pPr>
            <w:r>
              <w:rPr>
                <w:rFonts w:ascii="Arial" w:eastAsia="Times New Roman" w:hAnsi="Arial" w:cs="Arial"/>
                <w:noProof/>
                <w:color w:val="666666"/>
                <w:sz w:val="26"/>
                <w:szCs w:val="26"/>
                <w:lang w:eastAsia="ru-RU"/>
              </w:rPr>
              <w:drawing>
                <wp:inline distT="0" distB="0" distL="0" distR="0">
                  <wp:extent cx="381000" cy="285750"/>
                  <wp:effectExtent l="0" t="0" r="0" b="0"/>
                  <wp:docPr id="4" name="Рисунок 4" descr="arrow black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black bottom"/>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shd w:val="clear" w:color="auto" w:fill="FFFFFF"/>
            <w:vAlign w:val="center"/>
            <w:hideMark/>
          </w:tcPr>
          <w:p w:rsidR="00165FE4" w:rsidRPr="00934BB1" w:rsidRDefault="00165FE4" w:rsidP="005C44B7">
            <w:pPr>
              <w:pBdr>
                <w:top w:val="single" w:sz="6" w:space="8" w:color="FF5000"/>
                <w:left w:val="single" w:sz="6" w:space="8" w:color="FF5000"/>
                <w:bottom w:val="single" w:sz="6" w:space="8" w:color="FF5000"/>
                <w:right w:val="single" w:sz="6" w:space="8" w:color="FF5000"/>
              </w:pBdr>
              <w:shd w:val="clear" w:color="auto" w:fill="FFFFFF"/>
              <w:spacing w:before="150" w:after="150" w:line="384" w:lineRule="atLeast"/>
              <w:ind w:left="75" w:right="75"/>
              <w:jc w:val="center"/>
              <w:rPr>
                <w:rFonts w:ascii="Tahoma" w:eastAsia="Times New Roman" w:hAnsi="Tahoma" w:cs="Tahoma"/>
                <w:color w:val="666666"/>
                <w:lang w:eastAsia="ru-RU"/>
              </w:rPr>
            </w:pPr>
            <w:r w:rsidRPr="00934BB1">
              <w:rPr>
                <w:rFonts w:ascii="Tahoma" w:eastAsia="Times New Roman" w:hAnsi="Tahoma" w:cs="Tahoma"/>
                <w:color w:val="666666"/>
                <w:lang w:eastAsia="ru-RU"/>
              </w:rPr>
              <w:t>Регулярное (не реже одного раза в год) обобщение практики осуществления в соответствующей сфере деятельности контроля и размещение данной информации на официальных сайтах в Интернете</w:t>
            </w:r>
          </w:p>
        </w:tc>
      </w:tr>
      <w:tr w:rsidR="00165FE4" w:rsidRPr="00934BB1" w:rsidTr="005C44B7">
        <w:tc>
          <w:tcPr>
            <w:tcW w:w="0" w:type="auto"/>
            <w:vMerge/>
            <w:shd w:val="clear" w:color="auto" w:fill="FFFFFF"/>
            <w:vAlign w:val="center"/>
            <w:hideMark/>
          </w:tcPr>
          <w:p w:rsidR="00165FE4" w:rsidRPr="00934BB1" w:rsidRDefault="00165FE4" w:rsidP="005C44B7">
            <w:pPr>
              <w:spacing w:after="0" w:line="240" w:lineRule="auto"/>
              <w:rPr>
                <w:rFonts w:ascii="Tahoma" w:eastAsia="Times New Roman" w:hAnsi="Tahoma" w:cs="Tahoma"/>
                <w:color w:val="666666"/>
                <w:lang w:eastAsia="ru-RU"/>
              </w:rPr>
            </w:pPr>
          </w:p>
        </w:tc>
        <w:tc>
          <w:tcPr>
            <w:tcW w:w="0" w:type="auto"/>
            <w:shd w:val="clear" w:color="auto" w:fill="FFFFFF"/>
            <w:vAlign w:val="center"/>
            <w:hideMark/>
          </w:tcPr>
          <w:p w:rsidR="00165FE4" w:rsidRPr="00934BB1" w:rsidRDefault="00165FE4" w:rsidP="005C44B7">
            <w:pPr>
              <w:spacing w:after="0" w:line="240" w:lineRule="auto"/>
              <w:rPr>
                <w:rFonts w:ascii="Arial" w:eastAsia="Times New Roman" w:hAnsi="Arial" w:cs="Arial"/>
                <w:color w:val="666666"/>
                <w:sz w:val="26"/>
                <w:szCs w:val="26"/>
                <w:lang w:eastAsia="ru-RU"/>
              </w:rPr>
            </w:pPr>
            <w:r>
              <w:rPr>
                <w:rFonts w:ascii="Arial" w:eastAsia="Times New Roman" w:hAnsi="Arial" w:cs="Arial"/>
                <w:noProof/>
                <w:color w:val="666666"/>
                <w:sz w:val="26"/>
                <w:szCs w:val="26"/>
                <w:lang w:eastAsia="ru-RU"/>
              </w:rPr>
              <w:drawing>
                <wp:inline distT="0" distB="0" distL="0" distR="0">
                  <wp:extent cx="381000" cy="285750"/>
                  <wp:effectExtent l="0" t="0" r="0" b="0"/>
                  <wp:docPr id="3" name="Рисунок 3" descr="arrow black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black bottom"/>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shd w:val="clear" w:color="auto" w:fill="FFFFFF"/>
            <w:vAlign w:val="center"/>
            <w:hideMark/>
          </w:tcPr>
          <w:p w:rsidR="00165FE4" w:rsidRPr="00934BB1" w:rsidRDefault="00165FE4" w:rsidP="005C44B7">
            <w:pPr>
              <w:pBdr>
                <w:top w:val="single" w:sz="6" w:space="8" w:color="FF5000"/>
                <w:left w:val="single" w:sz="6" w:space="8" w:color="FF5000"/>
                <w:bottom w:val="single" w:sz="6" w:space="8" w:color="FF5000"/>
                <w:right w:val="single" w:sz="6" w:space="8" w:color="FF5000"/>
              </w:pBdr>
              <w:shd w:val="clear" w:color="auto" w:fill="FFFFFF"/>
              <w:spacing w:before="150" w:after="150" w:line="384" w:lineRule="atLeast"/>
              <w:ind w:left="75" w:right="75"/>
              <w:jc w:val="center"/>
              <w:rPr>
                <w:rFonts w:ascii="Tahoma" w:eastAsia="Times New Roman" w:hAnsi="Tahoma" w:cs="Tahoma"/>
                <w:color w:val="666666"/>
                <w:lang w:eastAsia="ru-RU"/>
              </w:rPr>
            </w:pPr>
            <w:r w:rsidRPr="00934BB1">
              <w:rPr>
                <w:rFonts w:ascii="Tahoma" w:eastAsia="Times New Roman" w:hAnsi="Tahoma" w:cs="Tahoma"/>
                <w:color w:val="666666"/>
                <w:lang w:eastAsia="ru-RU"/>
              </w:rPr>
              <w:t>Выдача предостережения о недопустимости нарушения обязательных требований юридическим лицам </w:t>
            </w:r>
            <w:r w:rsidRPr="00934BB1">
              <w:rPr>
                <w:rFonts w:ascii="Tahoma" w:eastAsia="Times New Roman" w:hAnsi="Tahoma" w:cs="Tahoma"/>
                <w:color w:val="666666"/>
                <w:lang w:eastAsia="ru-RU"/>
              </w:rPr>
              <w:br/>
              <w:t>и индивидуальным предпринимателям</w:t>
            </w:r>
          </w:p>
        </w:tc>
      </w:tr>
    </w:tbl>
    <w:p w:rsidR="00165FE4" w:rsidRPr="00934BB1" w:rsidRDefault="00165FE4" w:rsidP="000D188B">
      <w:pPr>
        <w:shd w:val="clear" w:color="auto" w:fill="FFFFFF"/>
        <w:spacing w:before="240" w:after="72" w:line="300" w:lineRule="atLeast"/>
        <w:jc w:val="center"/>
        <w:outlineLvl w:val="3"/>
        <w:rPr>
          <w:rFonts w:ascii="Tahoma" w:eastAsia="Times New Roman" w:hAnsi="Tahoma" w:cs="Tahoma"/>
          <w:b/>
          <w:bCs/>
          <w:color w:val="194259"/>
          <w:sz w:val="27"/>
          <w:szCs w:val="27"/>
          <w:lang w:eastAsia="ru-RU"/>
        </w:rPr>
      </w:pPr>
      <w:r w:rsidRPr="00934BB1">
        <w:rPr>
          <w:rFonts w:ascii="Tahoma" w:eastAsia="Times New Roman" w:hAnsi="Tahoma" w:cs="Tahoma"/>
          <w:b/>
          <w:bCs/>
          <w:color w:val="194259"/>
          <w:sz w:val="27"/>
          <w:szCs w:val="27"/>
          <w:lang w:eastAsia="ru-RU"/>
        </w:rPr>
        <w:t>Кто и в каких случаях может вынести предостережение?</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Каждый орган контроля публикует свои приказы, которые регламентируют выдачу предостережений. Например, Федеральная антимонопольная служба живет по приказу ФАС России от 28.12.2015 </w:t>
      </w:r>
      <w:hyperlink r:id="rId7" w:tgtFrame="_blank" w:history="1">
        <w:r w:rsidRPr="00934BB1">
          <w:rPr>
            <w:rFonts w:ascii="Tahoma" w:eastAsia="Times New Roman" w:hAnsi="Tahoma" w:cs="Tahoma"/>
            <w:color w:val="0D89D2"/>
            <w:sz w:val="26"/>
            <w:szCs w:val="26"/>
            <w:u w:val="single"/>
            <w:lang w:eastAsia="ru-RU"/>
          </w:rPr>
          <w:t>№ 1318/15</w:t>
        </w:r>
      </w:hyperlink>
      <w:r w:rsidR="000D188B">
        <w:t xml:space="preserve"> </w:t>
      </w:r>
      <w:r w:rsidRPr="00934BB1">
        <w:rPr>
          <w:rFonts w:ascii="Tahoma" w:eastAsia="Times New Roman" w:hAnsi="Tahoma" w:cs="Tahoma"/>
          <w:color w:val="666666"/>
          <w:sz w:val="26"/>
          <w:szCs w:val="26"/>
          <w:lang w:eastAsia="ru-RU"/>
        </w:rPr>
        <w: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В случае с нарушением антимонопольного законодательства основанием для направления предостережения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165FE4" w:rsidRPr="00934BB1"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Но в целом предостережение объявляется в определенных законом случаях. Объявление предупреждения последует, если из сведений, поступивших в орган контроля, можно сделать вывод, что произошло или может произойти нарушение обязательных требований, но:</w:t>
      </w:r>
    </w:p>
    <w:p w:rsidR="00165FE4" w:rsidRPr="00934BB1" w:rsidRDefault="00165FE4" w:rsidP="00165FE4">
      <w:pPr>
        <w:numPr>
          <w:ilvl w:val="0"/>
          <w:numId w:val="1"/>
        </w:numPr>
        <w:shd w:val="clear" w:color="auto" w:fill="FFFFFF"/>
        <w:spacing w:after="0" w:line="420" w:lineRule="atLeast"/>
        <w:ind w:left="750"/>
        <w:rPr>
          <w:rFonts w:ascii="Arial" w:eastAsia="Times New Roman" w:hAnsi="Arial" w:cs="Arial"/>
          <w:color w:val="666666"/>
          <w:sz w:val="26"/>
          <w:szCs w:val="26"/>
          <w:lang w:eastAsia="ru-RU"/>
        </w:rPr>
      </w:pPr>
      <w:r w:rsidRPr="00934BB1">
        <w:rPr>
          <w:rFonts w:ascii="Arial" w:eastAsia="Times New Roman" w:hAnsi="Arial" w:cs="Arial"/>
          <w:color w:val="666666"/>
          <w:sz w:val="26"/>
          <w:szCs w:val="26"/>
          <w:lang w:eastAsia="ru-RU"/>
        </w:rPr>
        <w:t>оно является незначительным;</w:t>
      </w:r>
    </w:p>
    <w:p w:rsidR="00165FE4" w:rsidRPr="00934BB1" w:rsidRDefault="00165FE4" w:rsidP="00165FE4">
      <w:pPr>
        <w:numPr>
          <w:ilvl w:val="0"/>
          <w:numId w:val="1"/>
        </w:numPr>
        <w:shd w:val="clear" w:color="auto" w:fill="FFFFFF"/>
        <w:spacing w:after="0" w:line="420" w:lineRule="atLeast"/>
        <w:ind w:left="750"/>
        <w:rPr>
          <w:rFonts w:ascii="Arial" w:eastAsia="Times New Roman" w:hAnsi="Arial" w:cs="Arial"/>
          <w:color w:val="666666"/>
          <w:sz w:val="26"/>
          <w:szCs w:val="26"/>
          <w:lang w:eastAsia="ru-RU"/>
        </w:rPr>
      </w:pPr>
      <w:r w:rsidRPr="00934BB1">
        <w:rPr>
          <w:rFonts w:ascii="Arial" w:eastAsia="Times New Roman" w:hAnsi="Arial" w:cs="Arial"/>
          <w:color w:val="666666"/>
          <w:sz w:val="26"/>
          <w:szCs w:val="26"/>
          <w:lang w:eastAsia="ru-RU"/>
        </w:rPr>
        <w:lastRenderedPageBreak/>
        <w:t>виновник ранее к ответственности не привлекался;</w:t>
      </w:r>
    </w:p>
    <w:p w:rsidR="00165FE4" w:rsidRPr="00934BB1" w:rsidRDefault="00165FE4" w:rsidP="00165FE4">
      <w:pPr>
        <w:numPr>
          <w:ilvl w:val="0"/>
          <w:numId w:val="1"/>
        </w:numPr>
        <w:shd w:val="clear" w:color="auto" w:fill="FFFFFF"/>
        <w:spacing w:after="0" w:line="420" w:lineRule="atLeast"/>
        <w:ind w:left="750"/>
        <w:rPr>
          <w:rFonts w:ascii="Arial" w:eastAsia="Times New Roman" w:hAnsi="Arial" w:cs="Arial"/>
          <w:color w:val="666666"/>
          <w:sz w:val="26"/>
          <w:szCs w:val="26"/>
          <w:lang w:eastAsia="ru-RU"/>
        </w:rPr>
      </w:pPr>
      <w:r w:rsidRPr="00934BB1">
        <w:rPr>
          <w:rFonts w:ascii="Arial" w:eastAsia="Times New Roman" w:hAnsi="Arial" w:cs="Arial"/>
          <w:color w:val="666666"/>
          <w:sz w:val="26"/>
          <w:szCs w:val="26"/>
          <w:lang w:eastAsia="ru-RU"/>
        </w:rPr>
        <w:t>сведения не являются анонимными.</w:t>
      </w:r>
    </w:p>
    <w:p w:rsidR="00165FE4" w:rsidRPr="00934BB1" w:rsidRDefault="00165FE4" w:rsidP="00165FE4">
      <w:pPr>
        <w:shd w:val="clear" w:color="auto" w:fill="FFFFFF"/>
        <w:spacing w:after="0" w:line="384" w:lineRule="atLeast"/>
        <w:jc w:val="both"/>
        <w:rPr>
          <w:rFonts w:ascii="Tahoma" w:eastAsia="Times New Roman" w:hAnsi="Tahoma" w:cs="Tahoma"/>
          <w:i/>
          <w:iCs/>
          <w:color w:val="8A98A0"/>
          <w:sz w:val="26"/>
          <w:szCs w:val="26"/>
          <w:lang w:eastAsia="ru-RU"/>
        </w:rPr>
      </w:pPr>
      <w:r>
        <w:rPr>
          <w:rFonts w:ascii="Tahoma" w:eastAsia="Times New Roman" w:hAnsi="Tahoma" w:cs="Tahoma"/>
          <w:i/>
          <w:iCs/>
          <w:noProof/>
          <w:color w:val="8A98A0"/>
          <w:sz w:val="26"/>
          <w:szCs w:val="26"/>
          <w:lang w:eastAsia="ru-RU"/>
        </w:rPr>
        <w:drawing>
          <wp:inline distT="0" distB="0" distL="0" distR="0">
            <wp:extent cx="171450" cy="171450"/>
            <wp:effectExtent l="0" t="0" r="0" b="0"/>
            <wp:docPr id="2" name="Рисунок 2" descr="k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u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4BB1">
        <w:rPr>
          <w:rFonts w:ascii="Tahoma" w:eastAsia="Times New Roman" w:hAnsi="Tahoma" w:cs="Tahoma"/>
          <w:i/>
          <w:iCs/>
          <w:color w:val="8A98A0"/>
          <w:sz w:val="26"/>
          <w:szCs w:val="26"/>
          <w:lang w:eastAsia="ru-RU"/>
        </w:rPr>
        <w:t>ПОЛЕЗНО ЗНАТЬ</w:t>
      </w:r>
    </w:p>
    <w:p w:rsidR="00165FE4" w:rsidRPr="00934BB1" w:rsidRDefault="00165FE4" w:rsidP="00165FE4">
      <w:pPr>
        <w:shd w:val="clear" w:color="auto" w:fill="FFFFFF"/>
        <w:spacing w:line="384" w:lineRule="atLeast"/>
        <w:jc w:val="both"/>
        <w:rPr>
          <w:rFonts w:ascii="Tahoma" w:eastAsia="Times New Roman" w:hAnsi="Tahoma" w:cs="Tahoma"/>
          <w:i/>
          <w:iCs/>
          <w:color w:val="8A98A0"/>
          <w:sz w:val="26"/>
          <w:szCs w:val="26"/>
          <w:lang w:eastAsia="ru-RU"/>
        </w:rPr>
      </w:pPr>
      <w:r w:rsidRPr="00934BB1">
        <w:rPr>
          <w:rFonts w:ascii="Tahoma" w:eastAsia="Times New Roman" w:hAnsi="Tahoma" w:cs="Tahoma"/>
          <w:i/>
          <w:iCs/>
          <w:color w:val="8A98A0"/>
          <w:sz w:val="26"/>
          <w:szCs w:val="26"/>
          <w:lang w:eastAsia="ru-RU"/>
        </w:rPr>
        <w:t>Для вынесения и направления предостережения у контролирующего органа есть 30 дней на получение приведенных выше сведений,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165FE4" w:rsidRPr="00934BB1" w:rsidRDefault="00165FE4" w:rsidP="000D188B">
      <w:pPr>
        <w:shd w:val="clear" w:color="auto" w:fill="FFFFFF"/>
        <w:spacing w:before="240" w:after="72" w:line="300" w:lineRule="atLeast"/>
        <w:jc w:val="center"/>
        <w:outlineLvl w:val="3"/>
        <w:rPr>
          <w:rFonts w:ascii="Tahoma" w:eastAsia="Times New Roman" w:hAnsi="Tahoma" w:cs="Tahoma"/>
          <w:b/>
          <w:bCs/>
          <w:color w:val="194259"/>
          <w:sz w:val="27"/>
          <w:szCs w:val="27"/>
          <w:lang w:eastAsia="ru-RU"/>
        </w:rPr>
      </w:pPr>
      <w:r w:rsidRPr="00934BB1">
        <w:rPr>
          <w:rFonts w:ascii="Tahoma" w:eastAsia="Times New Roman" w:hAnsi="Tahoma" w:cs="Tahoma"/>
          <w:b/>
          <w:bCs/>
          <w:color w:val="194259"/>
          <w:sz w:val="27"/>
          <w:szCs w:val="27"/>
          <w:lang w:eastAsia="ru-RU"/>
        </w:rPr>
        <w:t>Что делать при получении предостережения?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При получении предостережения возможны две ситуации:</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1. Исправление ошибок, недочетов на основании предостережения.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2. Обжалование предостережения.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Получатель в срок не менее 60 дней со дня направления предостережения должен направить уведомление о его исполнении. В уведомлении следует указать (со ссылкой на дату и номер предостережения) сведения о принятых мерах по обеспечению соблюдения обязательных требований. Уведомление оформляется при отсутствии возражений на предостережение.</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В возражениях указываются: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а) наименование юридического лица, фамилия, имя, отчество (при наличии) индивидуального предпринимателя;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б) идентификационный номер налогоплательщика – юридического лица, индивидуального предпринимателя;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в) дата и номер предостережения, направленного в адрес юридического лица, индивидуального предпринимателя;</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w:t>
      </w:r>
      <w:r w:rsidRPr="00934BB1">
        <w:rPr>
          <w:rFonts w:ascii="Tahoma" w:eastAsia="Times New Roman" w:hAnsi="Tahoma" w:cs="Tahoma"/>
          <w:color w:val="666666"/>
          <w:sz w:val="26"/>
          <w:szCs w:val="26"/>
          <w:lang w:eastAsia="ru-RU"/>
        </w:rPr>
        <w:lastRenderedPageBreak/>
        <w:t>обязательных требований, требований, установленных муниципальными правовыми актами.</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Направляя возражения, юридическое лицо должно не только указать стандартную информацию о себе (наименование, ИНН), о полученном предостережении (дата составления, номер), но и обосновать свою позицию в отношении названных в предостережении действий.</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proofErr w:type="gramStart"/>
      <w:r w:rsidRPr="00934BB1">
        <w:rPr>
          <w:rFonts w:ascii="Tahoma" w:eastAsia="Times New Roman" w:hAnsi="Tahoma" w:cs="Tahoma"/>
          <w:color w:val="666666"/>
          <w:sz w:val="26"/>
          <w:szCs w:val="26"/>
          <w:lang w:eastAsia="ru-RU"/>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0D188B"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Но если ответ вас не устроит, его можно обжаловать. Акты налоговых органов ненормативного характера, действия или бездействие их должностных лиц могут быть обжалованы в суд в порядке, предусмотренном НК РФ и соответствующим процессуальным законодательством РФ. В настоящее время уже складывается практика в отношении обжалования предупреждений. В качестве примера можно назвать Апелляционное определение Санкт-Петербургского городского суда от 14.03.2017 </w:t>
      </w:r>
      <w:hyperlink r:id="rId9" w:tgtFrame="_blank" w:history="1">
        <w:r w:rsidRPr="00934BB1">
          <w:rPr>
            <w:rFonts w:ascii="Tahoma" w:eastAsia="Times New Roman" w:hAnsi="Tahoma" w:cs="Tahoma"/>
            <w:color w:val="0D89D2"/>
            <w:sz w:val="26"/>
            <w:szCs w:val="26"/>
            <w:u w:val="single"/>
            <w:lang w:eastAsia="ru-RU"/>
          </w:rPr>
          <w:t>№ 33а-2829/2017</w:t>
        </w:r>
      </w:hyperlink>
      <w:r w:rsidRPr="00934BB1">
        <w:rPr>
          <w:rFonts w:ascii="Tahoma" w:eastAsia="Times New Roman" w:hAnsi="Tahoma" w:cs="Tahoma"/>
          <w:color w:val="666666"/>
          <w:sz w:val="26"/>
          <w:szCs w:val="26"/>
          <w:lang w:eastAsia="ru-RU"/>
        </w:rPr>
        <w:t>. Генеральный директор СПб ГУП «</w:t>
      </w:r>
      <w:proofErr w:type="spellStart"/>
      <w:r w:rsidRPr="00934BB1">
        <w:rPr>
          <w:rFonts w:ascii="Tahoma" w:eastAsia="Times New Roman" w:hAnsi="Tahoma" w:cs="Tahoma"/>
          <w:color w:val="666666"/>
          <w:sz w:val="26"/>
          <w:szCs w:val="26"/>
          <w:lang w:eastAsia="ru-RU"/>
        </w:rPr>
        <w:t>Пассажиравтотранс</w:t>
      </w:r>
      <w:proofErr w:type="spellEnd"/>
      <w:r w:rsidRPr="00934BB1">
        <w:rPr>
          <w:rFonts w:ascii="Tahoma" w:eastAsia="Times New Roman" w:hAnsi="Tahoma" w:cs="Tahoma"/>
          <w:color w:val="666666"/>
          <w:sz w:val="26"/>
          <w:szCs w:val="26"/>
          <w:lang w:eastAsia="ru-RU"/>
        </w:rPr>
        <w:t xml:space="preserve">» Л. обратился в суд с административным исковым заявлением, просил признать предостережение прокурора Московского района Санкт-Петербурга от 08.08.2016 № 03-09-2016, направленное в его адрес, незаконным. </w:t>
      </w:r>
      <w:proofErr w:type="gramStart"/>
      <w:r w:rsidRPr="00934BB1">
        <w:rPr>
          <w:rFonts w:ascii="Tahoma" w:eastAsia="Times New Roman" w:hAnsi="Tahoma" w:cs="Tahoma"/>
          <w:color w:val="666666"/>
          <w:sz w:val="26"/>
          <w:szCs w:val="26"/>
          <w:lang w:eastAsia="ru-RU"/>
        </w:rPr>
        <w:t xml:space="preserve">Но из материалов дела усматривается, что оспариваемое предостережение основано на нормах законодательства о безопасности дорожного движения, регламентирующего оборудование транспортных средств детскими удерживающими устройствами, которое одинаково применимо как к юридическим лицам, осуществляющим перевозку пассажиров, так и к любым иным владельцам автотранспортных </w:t>
      </w:r>
      <w:r w:rsidRPr="00934BB1">
        <w:rPr>
          <w:rFonts w:ascii="Tahoma" w:eastAsia="Times New Roman" w:hAnsi="Tahoma" w:cs="Tahoma"/>
          <w:color w:val="666666"/>
          <w:sz w:val="26"/>
          <w:szCs w:val="26"/>
          <w:lang w:eastAsia="ru-RU"/>
        </w:rPr>
        <w:lastRenderedPageBreak/>
        <w:t>средств, то есть непосредственно не обусловлено осуществляемой экономической деятельностью СПб ГУП «</w:t>
      </w:r>
      <w:proofErr w:type="spellStart"/>
      <w:r w:rsidRPr="00934BB1">
        <w:rPr>
          <w:rFonts w:ascii="Tahoma" w:eastAsia="Times New Roman" w:hAnsi="Tahoma" w:cs="Tahoma"/>
          <w:color w:val="666666"/>
          <w:sz w:val="26"/>
          <w:szCs w:val="26"/>
          <w:lang w:eastAsia="ru-RU"/>
        </w:rPr>
        <w:t>Пассажиравтотранс</w:t>
      </w:r>
      <w:proofErr w:type="spellEnd"/>
      <w:r w:rsidRPr="00934BB1">
        <w:rPr>
          <w:rFonts w:ascii="Tahoma" w:eastAsia="Times New Roman" w:hAnsi="Tahoma" w:cs="Tahoma"/>
          <w:color w:val="666666"/>
          <w:sz w:val="26"/>
          <w:szCs w:val="26"/>
          <w:lang w:eastAsia="ru-RU"/>
        </w:rPr>
        <w:t>».</w:t>
      </w:r>
      <w:proofErr w:type="gramEnd"/>
    </w:p>
    <w:p w:rsidR="00165FE4" w:rsidRPr="00934BB1" w:rsidRDefault="00165FE4" w:rsidP="000D188B">
      <w:pPr>
        <w:shd w:val="clear" w:color="auto" w:fill="FFFFFF"/>
        <w:spacing w:after="165" w:line="384" w:lineRule="atLeast"/>
        <w:ind w:firstLine="709"/>
        <w:jc w:val="both"/>
        <w:rPr>
          <w:rFonts w:ascii="Tahoma" w:eastAsia="Times New Roman" w:hAnsi="Tahoma" w:cs="Tahoma"/>
          <w:color w:val="666666"/>
          <w:sz w:val="26"/>
          <w:szCs w:val="26"/>
          <w:lang w:eastAsia="ru-RU"/>
        </w:rPr>
      </w:pPr>
      <w:r w:rsidRPr="00934BB1">
        <w:rPr>
          <w:rFonts w:ascii="Tahoma" w:eastAsia="Times New Roman" w:hAnsi="Tahoma" w:cs="Tahoma"/>
          <w:color w:val="666666"/>
          <w:sz w:val="26"/>
          <w:szCs w:val="26"/>
          <w:lang w:eastAsia="ru-RU"/>
        </w:rPr>
        <w:t>Аналогичным образом не в пользу истца сложилась практика в Апелляционном определении Свердловского областного суда от 25.01.2017 № 33а-1209/2017. Председатель товарищества собственников жилья указал на незаконность предостережения о недопустимости отключения от электроэнергии объектов, подключенных к принадлежащей собственникам помещений жилищного комплекса энергоустановке, предостережение препятствует ведению деятельности по управлению товариществом и комплексом (имуществом) многоквартирных жилых домов и отключению незаконно подключенных потребителей. Но суд с этим доводом не согласился. Суд первой инстанции, оценив представленные сторонами доказательства, пришел к обоснованному выводу о наличии оснований для вынесения предостережения председателю ТСЖ «ЖК «Радужный» Ш., поскольку в ходе проверки было установлено намерение ТСЖ «ЖК «Радужный», в нарушение требований п. 1 ст. 38 Федерального закона от 26.03.2003 № 35-ФЗ «Об электроэнергетике», произвести отключение электроснабжения, которое могло повлечь за собой нарушение прав неопределенного круга лиц.</w:t>
      </w:r>
    </w:p>
    <w:p w:rsidR="00165FE4" w:rsidRPr="00934BB1" w:rsidRDefault="00165FE4" w:rsidP="00165FE4">
      <w:pPr>
        <w:shd w:val="clear" w:color="auto" w:fill="FFFFFF"/>
        <w:spacing w:after="0" w:line="384" w:lineRule="atLeast"/>
        <w:jc w:val="both"/>
        <w:rPr>
          <w:rFonts w:ascii="Tahoma" w:eastAsia="Times New Roman" w:hAnsi="Tahoma" w:cs="Tahoma"/>
          <w:i/>
          <w:iCs/>
          <w:color w:val="8A98A0"/>
          <w:sz w:val="26"/>
          <w:szCs w:val="26"/>
          <w:lang w:eastAsia="ru-RU"/>
        </w:rPr>
      </w:pPr>
      <w:r>
        <w:rPr>
          <w:rFonts w:ascii="Tahoma" w:eastAsia="Times New Roman" w:hAnsi="Tahoma" w:cs="Tahoma"/>
          <w:i/>
          <w:iCs/>
          <w:noProof/>
          <w:color w:val="8A98A0"/>
          <w:sz w:val="26"/>
          <w:szCs w:val="26"/>
          <w:lang w:eastAsia="ru-RU"/>
        </w:rPr>
        <w:drawing>
          <wp:inline distT="0" distB="0" distL="0" distR="0">
            <wp:extent cx="171450" cy="171450"/>
            <wp:effectExtent l="0" t="0" r="0" b="0"/>
            <wp:docPr id="1" name="Рисунок 1" descr="k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u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34BB1">
        <w:rPr>
          <w:rFonts w:ascii="Tahoma" w:eastAsia="Times New Roman" w:hAnsi="Tahoma" w:cs="Tahoma"/>
          <w:i/>
          <w:iCs/>
          <w:color w:val="8A98A0"/>
          <w:sz w:val="26"/>
          <w:szCs w:val="26"/>
          <w:lang w:eastAsia="ru-RU"/>
        </w:rPr>
        <w:t>ПОЛЕЗНО ЗНАТЬ</w:t>
      </w:r>
    </w:p>
    <w:p w:rsidR="000D188B" w:rsidRDefault="00165FE4" w:rsidP="000D188B">
      <w:pPr>
        <w:shd w:val="clear" w:color="auto" w:fill="FFFFFF"/>
        <w:spacing w:line="384" w:lineRule="atLeast"/>
        <w:jc w:val="both"/>
        <w:rPr>
          <w:rFonts w:ascii="Tahoma" w:eastAsia="Times New Roman" w:hAnsi="Tahoma" w:cs="Tahoma"/>
          <w:i/>
          <w:iCs/>
          <w:color w:val="8A98A0"/>
          <w:sz w:val="26"/>
          <w:szCs w:val="26"/>
          <w:lang w:eastAsia="ru-RU"/>
        </w:rPr>
      </w:pPr>
      <w:r w:rsidRPr="00934BB1">
        <w:rPr>
          <w:rFonts w:ascii="Tahoma" w:eastAsia="Times New Roman" w:hAnsi="Tahoma" w:cs="Tahoma"/>
          <w:i/>
          <w:iCs/>
          <w:color w:val="8A98A0"/>
          <w:sz w:val="26"/>
          <w:szCs w:val="26"/>
          <w:lang w:eastAsia="ru-RU"/>
        </w:rPr>
        <w:t>В предостережении должен быть приведен срок для направления юридическим лицом, индивидуальным предпринимателем уведомления о его исполнении – не менее 60 дней со дня направления предостережения.</w:t>
      </w:r>
    </w:p>
    <w:p w:rsidR="000D188B" w:rsidRDefault="00165FE4" w:rsidP="000D188B">
      <w:pPr>
        <w:shd w:val="clear" w:color="auto" w:fill="FFFFFF"/>
        <w:spacing w:line="384" w:lineRule="atLeast"/>
        <w:ind w:firstLine="709"/>
        <w:jc w:val="both"/>
        <w:rPr>
          <w:rFonts w:ascii="Tahoma" w:eastAsia="Times New Roman" w:hAnsi="Tahoma" w:cs="Tahoma"/>
          <w:i/>
          <w:iCs/>
          <w:color w:val="8A98A0"/>
          <w:sz w:val="26"/>
          <w:szCs w:val="26"/>
          <w:lang w:eastAsia="ru-RU"/>
        </w:rPr>
      </w:pPr>
      <w:r w:rsidRPr="00934BB1">
        <w:rPr>
          <w:rFonts w:ascii="Tahoma" w:eastAsia="Times New Roman" w:hAnsi="Tahoma" w:cs="Tahoma"/>
          <w:color w:val="666666"/>
          <w:sz w:val="26"/>
          <w:szCs w:val="26"/>
          <w:lang w:eastAsia="ru-RU"/>
        </w:rPr>
        <w:t>Но справедливости ради нужно отметить, что есть и судебная практика в пользу компаний.</w:t>
      </w:r>
    </w:p>
    <w:p w:rsidR="000D188B" w:rsidRDefault="00165FE4" w:rsidP="000D188B">
      <w:pPr>
        <w:shd w:val="clear" w:color="auto" w:fill="FFFFFF"/>
        <w:spacing w:line="384" w:lineRule="atLeast"/>
        <w:ind w:firstLine="709"/>
        <w:jc w:val="both"/>
        <w:rPr>
          <w:rFonts w:ascii="Tahoma" w:eastAsia="Times New Roman" w:hAnsi="Tahoma" w:cs="Tahoma"/>
          <w:i/>
          <w:iCs/>
          <w:color w:val="8A98A0"/>
          <w:sz w:val="26"/>
          <w:szCs w:val="26"/>
          <w:lang w:eastAsia="ru-RU"/>
        </w:rPr>
      </w:pPr>
      <w:r w:rsidRPr="00934BB1">
        <w:rPr>
          <w:rFonts w:ascii="Tahoma" w:eastAsia="Times New Roman" w:hAnsi="Tahoma" w:cs="Tahoma"/>
          <w:color w:val="666666"/>
          <w:sz w:val="26"/>
          <w:szCs w:val="26"/>
          <w:lang w:eastAsia="ru-RU"/>
        </w:rPr>
        <w:t>В Апелляционном определении Красноярского краевого суда от 20.06.2016 </w:t>
      </w:r>
      <w:hyperlink r:id="rId10" w:tgtFrame="_blank" w:history="1">
        <w:r w:rsidRPr="00934BB1">
          <w:rPr>
            <w:rFonts w:ascii="Tahoma" w:eastAsia="Times New Roman" w:hAnsi="Tahoma" w:cs="Tahoma"/>
            <w:color w:val="0D89D2"/>
            <w:sz w:val="26"/>
            <w:szCs w:val="26"/>
            <w:u w:val="single"/>
            <w:lang w:eastAsia="ru-RU"/>
          </w:rPr>
          <w:t>№ 33а-7991/2016</w:t>
        </w:r>
      </w:hyperlink>
      <w:r w:rsidRPr="00934BB1">
        <w:rPr>
          <w:rFonts w:ascii="Tahoma" w:eastAsia="Times New Roman" w:hAnsi="Tahoma" w:cs="Tahoma"/>
          <w:color w:val="666666"/>
          <w:sz w:val="26"/>
          <w:szCs w:val="26"/>
          <w:lang w:eastAsia="ru-RU"/>
        </w:rPr>
        <w:t xml:space="preserve"> суд согласился с тем, что предостережение было выдано неправомерно. ТО управления </w:t>
      </w:r>
      <w:proofErr w:type="spellStart"/>
      <w:r w:rsidRPr="00934BB1">
        <w:rPr>
          <w:rFonts w:ascii="Tahoma" w:eastAsia="Times New Roman" w:hAnsi="Tahoma" w:cs="Tahoma"/>
          <w:color w:val="666666"/>
          <w:sz w:val="26"/>
          <w:szCs w:val="26"/>
          <w:lang w:eastAsia="ru-RU"/>
        </w:rPr>
        <w:t>Роспотребнадзора</w:t>
      </w:r>
      <w:proofErr w:type="spellEnd"/>
      <w:r w:rsidRPr="00934BB1">
        <w:rPr>
          <w:rFonts w:ascii="Tahoma" w:eastAsia="Times New Roman" w:hAnsi="Tahoma" w:cs="Tahoma"/>
          <w:color w:val="666666"/>
          <w:sz w:val="26"/>
          <w:szCs w:val="26"/>
          <w:lang w:eastAsia="ru-RU"/>
        </w:rPr>
        <w:t xml:space="preserve"> по Красноярскому краю в </w:t>
      </w:r>
      <w:proofErr w:type="spellStart"/>
      <w:r w:rsidRPr="00934BB1">
        <w:rPr>
          <w:rFonts w:ascii="Tahoma" w:eastAsia="Times New Roman" w:hAnsi="Tahoma" w:cs="Tahoma"/>
          <w:color w:val="666666"/>
          <w:sz w:val="26"/>
          <w:szCs w:val="26"/>
          <w:lang w:eastAsia="ru-RU"/>
        </w:rPr>
        <w:t>Балахтинском</w:t>
      </w:r>
      <w:proofErr w:type="spellEnd"/>
      <w:r w:rsidRPr="00934BB1">
        <w:rPr>
          <w:rFonts w:ascii="Tahoma" w:eastAsia="Times New Roman" w:hAnsi="Tahoma" w:cs="Tahoma"/>
          <w:color w:val="666666"/>
          <w:sz w:val="26"/>
          <w:szCs w:val="26"/>
          <w:lang w:eastAsia="ru-RU"/>
        </w:rPr>
        <w:t xml:space="preserve"> районе обратился в суд с административным исковым заявлением об оспаривании предостережения прокурора </w:t>
      </w:r>
      <w:proofErr w:type="spellStart"/>
      <w:r w:rsidRPr="00934BB1">
        <w:rPr>
          <w:rFonts w:ascii="Tahoma" w:eastAsia="Times New Roman" w:hAnsi="Tahoma" w:cs="Tahoma"/>
          <w:color w:val="666666"/>
          <w:sz w:val="26"/>
          <w:szCs w:val="26"/>
          <w:lang w:eastAsia="ru-RU"/>
        </w:rPr>
        <w:t>Балахтинского</w:t>
      </w:r>
      <w:proofErr w:type="spellEnd"/>
      <w:r w:rsidRPr="00934BB1">
        <w:rPr>
          <w:rFonts w:ascii="Tahoma" w:eastAsia="Times New Roman" w:hAnsi="Tahoma" w:cs="Tahoma"/>
          <w:color w:val="666666"/>
          <w:sz w:val="26"/>
          <w:szCs w:val="26"/>
          <w:lang w:eastAsia="ru-RU"/>
        </w:rPr>
        <w:t xml:space="preserve"> района ФИО5 о недопустимости нарушения закона. Суд указал на отсутствие оснований для проведения проверки деятельности индивидуального предпринимателя ФИО6 на предмет соответствия СП 2.3.6.1066-01 «Санитарно-эпидемиологические требования к организациям торговли и обороту в них продовольственного сырья и пищевых продуктов», Технического регламента Таможенного союза </w:t>
      </w:r>
      <w:r w:rsidRPr="00934BB1">
        <w:rPr>
          <w:rFonts w:ascii="Tahoma" w:eastAsia="Times New Roman" w:hAnsi="Tahoma" w:cs="Tahoma"/>
          <w:color w:val="666666"/>
          <w:sz w:val="26"/>
          <w:szCs w:val="26"/>
          <w:lang w:eastAsia="ru-RU"/>
        </w:rPr>
        <w:lastRenderedPageBreak/>
        <w:t>«Пищевая продукция в части ее маркировки» (ТР ТС 022/2011), утвержденного решением комиссии Таможенного союза от 09.12.2011 № 881. По мнению суда, оспариваемое предостережение прокурора нельзя признать законным и обоснованным.</w:t>
      </w:r>
    </w:p>
    <w:p w:rsidR="00165FE4" w:rsidRPr="000D188B" w:rsidRDefault="00165FE4" w:rsidP="000D188B">
      <w:pPr>
        <w:shd w:val="clear" w:color="auto" w:fill="FFFFFF"/>
        <w:spacing w:line="384" w:lineRule="atLeast"/>
        <w:ind w:firstLine="709"/>
        <w:jc w:val="both"/>
        <w:rPr>
          <w:rFonts w:ascii="Tahoma" w:eastAsia="Times New Roman" w:hAnsi="Tahoma" w:cs="Tahoma"/>
          <w:i/>
          <w:iCs/>
          <w:color w:val="8A98A0"/>
          <w:sz w:val="26"/>
          <w:szCs w:val="26"/>
          <w:lang w:eastAsia="ru-RU"/>
        </w:rPr>
      </w:pPr>
      <w:r w:rsidRPr="00934BB1">
        <w:rPr>
          <w:rFonts w:ascii="Tahoma" w:eastAsia="Times New Roman" w:hAnsi="Tahoma" w:cs="Tahoma"/>
          <w:color w:val="666666"/>
          <w:sz w:val="26"/>
          <w:szCs w:val="26"/>
          <w:lang w:eastAsia="ru-RU"/>
        </w:rPr>
        <w:t>В заключение следует отметить, что предупреждения положительно себя зарекомендовали в рамках антимонопольного законодательства, поскольку позволяют снизить риски, избежать штрафов, а кроме того, могут быть обжалованы компанией или предпринимателем.</w:t>
      </w:r>
    </w:p>
    <w:p w:rsidR="00086BA3" w:rsidRDefault="00086BA3"/>
    <w:sectPr w:rsidR="00086BA3" w:rsidSect="00F03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F3C8F"/>
    <w:multiLevelType w:val="multilevel"/>
    <w:tmpl w:val="E12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A41"/>
    <w:rsid w:val="00002353"/>
    <w:rsid w:val="00033DB9"/>
    <w:rsid w:val="0007262D"/>
    <w:rsid w:val="00086BA3"/>
    <w:rsid w:val="000B2DEF"/>
    <w:rsid w:val="000C0937"/>
    <w:rsid w:val="000D188B"/>
    <w:rsid w:val="000F1499"/>
    <w:rsid w:val="00114018"/>
    <w:rsid w:val="00165FE4"/>
    <w:rsid w:val="00171EAF"/>
    <w:rsid w:val="002359D5"/>
    <w:rsid w:val="00271311"/>
    <w:rsid w:val="00285776"/>
    <w:rsid w:val="002D6EE2"/>
    <w:rsid w:val="002D7DDD"/>
    <w:rsid w:val="003063FF"/>
    <w:rsid w:val="00317E43"/>
    <w:rsid w:val="00395FBF"/>
    <w:rsid w:val="003A6998"/>
    <w:rsid w:val="0042458A"/>
    <w:rsid w:val="004553F0"/>
    <w:rsid w:val="00482A3E"/>
    <w:rsid w:val="00487300"/>
    <w:rsid w:val="004A7569"/>
    <w:rsid w:val="004B1B3E"/>
    <w:rsid w:val="00505D3A"/>
    <w:rsid w:val="005275EC"/>
    <w:rsid w:val="00540308"/>
    <w:rsid w:val="005517F7"/>
    <w:rsid w:val="0059305C"/>
    <w:rsid w:val="005B025B"/>
    <w:rsid w:val="005C4FBC"/>
    <w:rsid w:val="00655A66"/>
    <w:rsid w:val="00672545"/>
    <w:rsid w:val="006B67B9"/>
    <w:rsid w:val="00710ED4"/>
    <w:rsid w:val="00735FA3"/>
    <w:rsid w:val="00756663"/>
    <w:rsid w:val="007608E3"/>
    <w:rsid w:val="00764A41"/>
    <w:rsid w:val="00765F5C"/>
    <w:rsid w:val="007C2188"/>
    <w:rsid w:val="007C4F25"/>
    <w:rsid w:val="007C6E2C"/>
    <w:rsid w:val="007D3D57"/>
    <w:rsid w:val="00807D46"/>
    <w:rsid w:val="00840761"/>
    <w:rsid w:val="00843FEA"/>
    <w:rsid w:val="008442A8"/>
    <w:rsid w:val="00871256"/>
    <w:rsid w:val="0087251F"/>
    <w:rsid w:val="008C58CB"/>
    <w:rsid w:val="00930B77"/>
    <w:rsid w:val="00990097"/>
    <w:rsid w:val="00992B8F"/>
    <w:rsid w:val="009E014E"/>
    <w:rsid w:val="00A86421"/>
    <w:rsid w:val="00AC0363"/>
    <w:rsid w:val="00AC0A00"/>
    <w:rsid w:val="00AE4A0A"/>
    <w:rsid w:val="00AF194B"/>
    <w:rsid w:val="00B2216E"/>
    <w:rsid w:val="00B22886"/>
    <w:rsid w:val="00B40271"/>
    <w:rsid w:val="00B66238"/>
    <w:rsid w:val="00B92F95"/>
    <w:rsid w:val="00B96D13"/>
    <w:rsid w:val="00BA7E99"/>
    <w:rsid w:val="00C217AB"/>
    <w:rsid w:val="00C24CF4"/>
    <w:rsid w:val="00CC0802"/>
    <w:rsid w:val="00D173D1"/>
    <w:rsid w:val="00D57FF0"/>
    <w:rsid w:val="00D6146F"/>
    <w:rsid w:val="00D900FB"/>
    <w:rsid w:val="00DB7616"/>
    <w:rsid w:val="00DC268E"/>
    <w:rsid w:val="00E069DF"/>
    <w:rsid w:val="00EA4F3D"/>
    <w:rsid w:val="00EF66FD"/>
    <w:rsid w:val="00F03BDB"/>
    <w:rsid w:val="00F80E19"/>
    <w:rsid w:val="00F81B0F"/>
    <w:rsid w:val="00F87769"/>
    <w:rsid w:val="00F94541"/>
    <w:rsid w:val="00FB3C33"/>
    <w:rsid w:val="00FE037F"/>
    <w:rsid w:val="00FE2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buhpressa.ru/dlya-bukhgaltera/normativnye-dokumenty/84-federalnaya-antimonopolnaya-sluzhba-rf/6971-prikaz-federalnoj-antimonopolnoj-sluzhby-ot-28-dekabrya-2015-g-131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buhpressa.ru/dlya-bukhgaltera/normativnye-dokumenty/74-postanovleniya-pravitelstva-rf/6659-postanovlenie-pravitelstva-rf-ot-10-fevralya-2017-g-166-ob-utverzhdenii-pravil-sostavleniya-i-napravleniya-predosterezheniya" TargetMode="External"/><Relationship Id="rId10" Type="http://schemas.openxmlformats.org/officeDocument/2006/relationships/hyperlink" Target="http://buhpressa.ru/dlya-bukhgaltera/normativnye-dokumenty/53-sudebnaya-praktika/6940-apellyatsionnoe-opredelenie-sk-po-administrativnym-delam-krasnoyarskogo-kraevogo-suda-ot-20-iyunya-2016-g-po-delu-33a-7991-2016" TargetMode="External"/><Relationship Id="rId4" Type="http://schemas.openxmlformats.org/officeDocument/2006/relationships/webSettings" Target="webSettings.xml"/><Relationship Id="rId9" Type="http://schemas.openxmlformats.org/officeDocument/2006/relationships/hyperlink" Target="http://buhpressa.ru/dlya-bukhgaltera/normativnye-dokumenty/53-sudebnaya-praktika/6939-apellyatsionnoe-opredelenie-sk-po-administrativnym-delam-sankt-peterburgskogo-gorodskogo-suda-ot-14-marta-2017-g-po-delu-33a-2829-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4</cp:revision>
  <dcterms:created xsi:type="dcterms:W3CDTF">2020-05-22T05:34:00Z</dcterms:created>
  <dcterms:modified xsi:type="dcterms:W3CDTF">2020-05-29T09:38:00Z</dcterms:modified>
</cp:coreProperties>
</file>